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9936"/>
      </w:tblGrid>
      <w:tr>
        <w:tc>
          <w:tcPr>
            <w:tcW w:type="dxa" w:w="9936"/>
            <w:tcBorders>
              <w:top w:val="single" w:sz="24" w:space="4" w:color="C99700"/>
              <w:left w:val="single" w:sz="24" w:space="4" w:color="C99700"/>
              <w:bottom w:val="single" w:sz="24" w:space="4" w:color="C99700"/>
              <w:right w:val="single" w:sz="24" w:space="4" w:color="C99700"/>
            </w:tcBorders>
          </w:tcPr>
          <w:p>
            <w:pPr>
              <w:jc w:val="center"/>
            </w:pPr>
          </w:p>
          <w:p>
            <w:pPr>
              <w:jc w:val="center"/>
            </w:pPr>
            <w:r>
              <w:drawing>
                <wp:inline xmlns:a="http://schemas.openxmlformats.org/drawingml/2006/main" xmlns:pic="http://schemas.openxmlformats.org/drawingml/2006/picture">
                  <wp:extent cx="1463040" cy="1463040"/>
                  <wp:docPr id="1" name="Picture 1"/>
                  <wp:cNvGraphicFramePr>
                    <a:graphicFrameLocks noChangeAspect="1"/>
                  </wp:cNvGraphicFramePr>
                  <a:graphic>
                    <a:graphicData uri="http://schemas.openxmlformats.org/drawingml/2006/picture">
                      <pic:pic>
                        <pic:nvPicPr>
                          <pic:cNvPr id="0" name="sr-logo.png"/>
                          <pic:cNvPicPr/>
                        </pic:nvPicPr>
                        <pic:blipFill>
                          <a:blip r:embed="rId9"/>
                          <a:stretch>
                            <a:fillRect/>
                          </a:stretch>
                        </pic:blipFill>
                        <pic:spPr>
                          <a:xfrm>
                            <a:off x="0" y="0"/>
                            <a:ext cx="1463040" cy="1463040"/>
                          </a:xfrm>
                          <a:prstGeom prst="rect"/>
                        </pic:spPr>
                      </pic:pic>
                    </a:graphicData>
                  </a:graphic>
                </wp:inline>
              </w:drawing>
            </w:r>
          </w:p>
          <w:p>
            <w:pPr>
              <w:jc w:val="center"/>
            </w:pPr>
            <w:r>
              <w:rPr>
                <w:rFonts w:ascii="Georgia" w:hAnsi="Georgia"/>
                <w:b/>
                <w:color w:val="0B0D11"/>
                <w:sz w:val="52"/>
              </w:rPr>
              <w:t>Episode 25 Companion Workbook</w:t>
            </w:r>
          </w:p>
          <w:p>
            <w:pPr>
              <w:jc w:val="center"/>
            </w:pPr>
            <w:r>
              <w:rPr>
                <w:color w:val="64748B"/>
                <w:sz w:val="28"/>
              </w:rPr>
              <w:t>Designing Your Own Strategic Recovery Path</w:t>
            </w:r>
          </w:p>
          <w:p>
            <w:pPr>
              <w:spacing w:before="200" w:after="360"/>
            </w:pPr>
            <w:r>
              <w:rPr>
                <w:color w:val="C99700"/>
                <w:sz w:val="2"/>
                <w:u w:val="single"/>
              </w:rPr>
            </w:r>
          </w:p>
          <w:p>
            <w:pPr>
              <w:jc w:val="center"/>
            </w:pPr>
            <w:r>
              <w:drawing>
                <wp:inline xmlns:a="http://schemas.openxmlformats.org/drawingml/2006/main" xmlns:pic="http://schemas.openxmlformats.org/drawingml/2006/picture">
                  <wp:extent cx="2103120" cy="2103120"/>
                  <wp:docPr id="2" name="Picture 2"/>
                  <wp:cNvGraphicFramePr>
                    <a:graphicFrameLocks noChangeAspect="1"/>
                  </wp:cNvGraphicFramePr>
                  <a:graphic>
                    <a:graphicData uri="http://schemas.openxmlformats.org/drawingml/2006/picture">
                      <pic:pic>
                        <pic:nvPicPr>
                          <pic:cNvPr id="0" name="ep-25-workbook-avatar-hero.png"/>
                          <pic:cNvPicPr/>
                        </pic:nvPicPr>
                        <pic:blipFill>
                          <a:blip r:embed="rId10"/>
                          <a:stretch>
                            <a:fillRect/>
                          </a:stretch>
                        </pic:blipFill>
                        <pic:spPr>
                          <a:xfrm>
                            <a:off x="0" y="0"/>
                            <a:ext cx="2103120" cy="2103120"/>
                          </a:xfrm>
                          <a:prstGeom prst="rect"/>
                        </pic:spPr>
                      </pic:pic>
                    </a:graphicData>
                  </a:graphic>
                </wp:inline>
              </w:drawing>
            </w:r>
          </w:p>
          <w:p>
            <w:pPr>
              <w:jc w:val="center"/>
            </w:pPr>
            <w:r>
              <w:rPr>
                <w:color w:val="374151"/>
                <w:sz w:val="22"/>
              </w:rPr>
              <w:t>Use this workbook to translate the “any positive change” paradigm into your own daily life, across all 5 Pillars of Strategic Recovery.</w:t>
            </w:r>
          </w:p>
          <w:p>
            <w:pPr>
              <w:jc w:val="center"/>
            </w:pPr>
            <w:r>
              <w:rPr>
                <w:color w:val="2563EB"/>
                <w:sz w:val="20"/>
              </w:rPr>
              <w:t>https://getstrategicrecovery.com/</w:t>
            </w:r>
          </w:p>
        </w:tc>
      </w:tr>
    </w:tbl>
    <w:p>
      <w:r>
        <w:br w:type="page"/>
      </w:r>
    </w:p>
    <w:p>
      <w:pPr>
        <w:spacing w:after="0"/>
      </w:pPr>
    </w:p>
    <w:p>
      <w:pPr>
        <w:spacing w:before="240" w:after="120"/>
        <w:jc w:val="left"/>
      </w:pPr>
      <w:r>
        <w:rPr>
          <w:b/>
          <w:color w:val="0B0D11"/>
          <w:sz w:val="32"/>
        </w:rPr>
        <w:t>How to Use This Workbook</w:t>
      </w:r>
    </w:p>
    <w:p>
      <w:pPr>
        <w:spacing w:after="120"/>
      </w:pPr>
      <w:r>
        <w:t>These pages are here to help you design a recovery path that actually fits your body, mind, nervous system, and soul. You can print this workbook and write by hand, or edit it directly in Word, Pages, or Google Docs.</w:t>
      </w:r>
    </w:p>
    <w:p>
      <w:pPr>
        <w:pStyle w:val="ListBullet"/>
        <w:ind w:left="360"/>
      </w:pPr>
      <w:r>
        <w:rPr>
          <w:sz w:val="22"/>
        </w:rPr>
        <w:t>Move through the exercises slowly — one at a time is enough.</w:t>
      </w:r>
    </w:p>
    <w:p>
      <w:pPr>
        <w:pStyle w:val="ListBullet"/>
        <w:ind w:left="360"/>
      </w:pPr>
      <w:r>
        <w:rPr>
          <w:sz w:val="22"/>
        </w:rPr>
        <w:t>Treat your answers as living, changeable experiments, not permanent contracts.</w:t>
      </w:r>
    </w:p>
    <w:p>
      <w:pPr>
        <w:pStyle w:val="ListBullet"/>
        <w:ind w:left="360"/>
      </w:pPr>
      <w:r>
        <w:rPr>
          <w:sz w:val="22"/>
        </w:rPr>
        <w:t>Revisit your notes after listening to Episode 25 again in the future.</w:t>
      </w:r>
    </w:p>
    <w:p>
      <w:pPr>
        <w:spacing w:before="240" w:after="120"/>
        <w:jc w:val="left"/>
      </w:pPr>
      <w:r>
        <w:rPr>
          <w:b/>
          <w:color w:val="0B0D11"/>
          <w:sz w:val="32"/>
        </w:rPr>
        <w:t>Exercise 1 – Rewrite Your Definition of Freedom</w:t>
      </w:r>
    </w:p>
    <w:p>
      <w:pPr>
        <w:spacing w:after="80"/>
      </w:pPr>
      <w:r>
        <w:t>Complete the sentence below in as many ways as you’d like. You’re not trying to sound “correct” — you’re trying to sound honest.</w:t>
      </w:r>
    </w:p>
    <w:p>
      <w:r>
        <w:t>“For me, living free after addiction means…”</w:t>
      </w:r>
    </w:p>
    <w:p>
      <w:pPr>
        <w:spacing w:after="200"/>
      </w:pPr>
      <w:r>
        <w:t>____________________________________________________________________________</w:t>
      </w:r>
    </w:p>
    <w:p>
      <w:pPr>
        <w:spacing w:after="200"/>
      </w:pPr>
      <w:r>
        <w:t>____________________________________________________________________________</w:t>
      </w:r>
    </w:p>
    <w:p>
      <w:pPr>
        <w:spacing w:after="200"/>
      </w:pPr>
      <w:r>
        <w:t>____________________________________________________________________________</w:t>
      </w:r>
    </w:p>
    <w:p>
      <w:pPr>
        <w:spacing w:after="200"/>
      </w:pPr>
      <w:r>
        <w:t>____________________________________________________________________________</w:t>
      </w:r>
    </w:p>
    <w:p>
      <w:pPr>
        <w:spacing w:before="160" w:after="80"/>
      </w:pPr>
      <w:r>
        <w:rPr>
          <w:b/>
          <w:color w:val="374151"/>
          <w:sz w:val="26"/>
        </w:rPr>
        <w:t>Optional prompts if you get stuck:</w:t>
      </w:r>
    </w:p>
    <w:p>
      <w:pPr>
        <w:pStyle w:val="ListBullet"/>
        <w:ind w:left="360"/>
      </w:pPr>
      <w:r>
        <w:rPr>
          <w:sz w:val="22"/>
        </w:rPr>
        <w:t>…being present with people I love without needing a chemical buffer.</w:t>
      </w:r>
    </w:p>
    <w:p>
      <w:pPr>
        <w:pStyle w:val="ListBullet"/>
        <w:ind w:left="360"/>
      </w:pPr>
      <w:r>
        <w:rPr>
          <w:sz w:val="22"/>
        </w:rPr>
        <w:t>…trusting myself around triggers that once controlled me.</w:t>
      </w:r>
    </w:p>
    <w:p>
      <w:pPr>
        <w:pStyle w:val="ListBullet"/>
        <w:ind w:left="360"/>
      </w:pPr>
      <w:r>
        <w:rPr>
          <w:sz w:val="22"/>
        </w:rPr>
        <w:t>…waking up with a clear head, a calm nervous system, and a sense of purpose.</w:t>
      </w:r>
    </w:p>
    <w:p>
      <w:pPr>
        <w:pStyle w:val="ListBullet"/>
        <w:ind w:left="360"/>
      </w:pPr>
      <w:r>
        <w:rPr>
          <w:sz w:val="22"/>
        </w:rPr>
        <w:t>…knowing substances are an optional part of my life — not the center of it.</w:t>
      </w:r>
    </w:p>
    <w:p>
      <w:r>
        <w:br w:type="page"/>
      </w:r>
    </w:p>
    <w:p>
      <w:pPr>
        <w:spacing w:before="240" w:after="120"/>
        <w:jc w:val="left"/>
      </w:pPr>
      <w:r>
        <w:rPr>
          <w:b/>
          <w:color w:val="0B0D11"/>
          <w:sz w:val="32"/>
        </w:rPr>
        <w:t>Exercise 2 – Map the 5 Pillars for Your Life</w:t>
      </w:r>
    </w:p>
    <w:p>
      <w:r>
        <w:t>Use the chart below to rate how supported you feel in each Pillar right now, then write one realistic positive change you could make this week.</w:t>
      </w:r>
    </w:p>
    <w:tbl>
      <w:tblPr>
        <w:tblW w:type="auto" w:w="0"/>
        <w:tblLook w:firstColumn="1" w:firstRow="1" w:lastColumn="0" w:lastRow="0" w:noHBand="0" w:noVBand="1" w:val="04A0"/>
      </w:tblPr>
      <w:tblGrid>
        <w:gridCol w:w="3312"/>
        <w:gridCol w:w="3312"/>
        <w:gridCol w:w="3312"/>
      </w:tblGrid>
      <w:tr>
        <w:tc>
          <w:tcPr>
            <w:tcW w:type="dxa" w:w="3312"/>
          </w:tcPr>
          <w:p>
            <w:pPr>
              <w:spacing w:after="40"/>
            </w:pPr>
            <w:r>
              <w:t>Pillar</w:t>
            </w:r>
          </w:p>
        </w:tc>
        <w:tc>
          <w:tcPr>
            <w:tcW w:type="dxa" w:w="3312"/>
          </w:tcPr>
          <w:p>
            <w:pPr>
              <w:spacing w:after="40"/>
            </w:pPr>
            <w:r>
              <w:t>Current Rating (1–10)</w:t>
            </w:r>
          </w:p>
        </w:tc>
        <w:tc>
          <w:tcPr>
            <w:tcW w:type="dxa" w:w="3312"/>
          </w:tcPr>
          <w:p>
            <w:pPr>
              <w:spacing w:after="40"/>
            </w:pPr>
            <w:r>
              <w:t>One Positive Change This Week</w:t>
            </w:r>
          </w:p>
        </w:tc>
      </w:tr>
      <w:tr>
        <w:tc>
          <w:tcPr>
            <w:tcW w:type="dxa" w:w="3312"/>
          </w:tcPr>
          <w:p>
            <w:pPr>
              <w:spacing w:after="40"/>
            </w:pPr>
            <w:r>
              <w:t>Biochemical</w:t>
              <w:br/>
              <w:t>(Ex: Hydration, sleep, nutrients)</w:t>
            </w:r>
          </w:p>
        </w:tc>
        <w:tc>
          <w:tcPr>
            <w:tcW w:type="dxa" w:w="3312"/>
          </w:tcPr>
          <w:p>
            <w:pPr>
              <w:spacing w:after="40"/>
            </w:pPr>
            <w:r/>
          </w:p>
        </w:tc>
        <w:tc>
          <w:tcPr>
            <w:tcW w:type="dxa" w:w="3312"/>
          </w:tcPr>
          <w:p>
            <w:pPr>
              <w:spacing w:after="40"/>
            </w:pPr>
            <w:r/>
          </w:p>
        </w:tc>
      </w:tr>
      <w:tr>
        <w:tc>
          <w:tcPr>
            <w:tcW w:type="dxa" w:w="3312"/>
          </w:tcPr>
          <w:p>
            <w:pPr>
              <w:spacing w:after="40"/>
            </w:pPr>
            <w:r>
              <w:t>Psychological</w:t>
              <w:br/>
              <w:t>(Ex: Therapy, journaling, beliefs)</w:t>
            </w:r>
          </w:p>
        </w:tc>
        <w:tc>
          <w:tcPr>
            <w:tcW w:type="dxa" w:w="3312"/>
          </w:tcPr>
          <w:p>
            <w:pPr>
              <w:spacing w:after="40"/>
            </w:pPr>
            <w:r/>
          </w:p>
        </w:tc>
        <w:tc>
          <w:tcPr>
            <w:tcW w:type="dxa" w:w="3312"/>
          </w:tcPr>
          <w:p>
            <w:pPr>
              <w:spacing w:after="40"/>
            </w:pPr>
            <w:r/>
          </w:p>
        </w:tc>
      </w:tr>
      <w:tr>
        <w:tc>
          <w:tcPr>
            <w:tcW w:type="dxa" w:w="3312"/>
          </w:tcPr>
          <w:p>
            <w:pPr>
              <w:spacing w:after="40"/>
            </w:pPr>
            <w:r>
              <w:t>Social</w:t>
              <w:br/>
              <w:t>(Ex: Supportive people, boundaries)</w:t>
            </w:r>
          </w:p>
        </w:tc>
        <w:tc>
          <w:tcPr>
            <w:tcW w:type="dxa" w:w="3312"/>
          </w:tcPr>
          <w:p>
            <w:pPr>
              <w:spacing w:after="40"/>
            </w:pPr>
            <w:r/>
          </w:p>
        </w:tc>
        <w:tc>
          <w:tcPr>
            <w:tcW w:type="dxa" w:w="3312"/>
          </w:tcPr>
          <w:p>
            <w:pPr>
              <w:spacing w:after="40"/>
            </w:pPr>
            <w:r/>
          </w:p>
        </w:tc>
      </w:tr>
      <w:tr>
        <w:tc>
          <w:tcPr>
            <w:tcW w:type="dxa" w:w="3312"/>
          </w:tcPr>
          <w:p>
            <w:pPr>
              <w:spacing w:after="40"/>
            </w:pPr>
            <w:r>
              <w:t>Environmental</w:t>
              <w:br/>
              <w:t>(Ex: Home setup, routines, triggers)</w:t>
            </w:r>
          </w:p>
        </w:tc>
        <w:tc>
          <w:tcPr>
            <w:tcW w:type="dxa" w:w="3312"/>
          </w:tcPr>
          <w:p>
            <w:pPr>
              <w:spacing w:after="40"/>
            </w:pPr>
            <w:r/>
          </w:p>
        </w:tc>
        <w:tc>
          <w:tcPr>
            <w:tcW w:type="dxa" w:w="3312"/>
          </w:tcPr>
          <w:p>
            <w:pPr>
              <w:spacing w:after="40"/>
            </w:pPr>
            <w:r/>
          </w:p>
        </w:tc>
      </w:tr>
      <w:tr>
        <w:tc>
          <w:tcPr>
            <w:tcW w:type="dxa" w:w="3312"/>
          </w:tcPr>
          <w:p>
            <w:pPr>
              <w:spacing w:after="40"/>
            </w:pPr>
            <w:r>
              <w:t>Spiritual</w:t>
              <w:br/>
              <w:t>(Ex: Prayer, meditation, meaning)</w:t>
            </w:r>
          </w:p>
        </w:tc>
        <w:tc>
          <w:tcPr>
            <w:tcW w:type="dxa" w:w="3312"/>
          </w:tcPr>
          <w:p>
            <w:pPr>
              <w:spacing w:after="40"/>
            </w:pPr>
            <w:r/>
          </w:p>
        </w:tc>
        <w:tc>
          <w:tcPr>
            <w:tcW w:type="dxa" w:w="3312"/>
          </w:tcPr>
          <w:p>
            <w:pPr>
              <w:spacing w:after="40"/>
            </w:pPr>
            <w:r/>
          </w:p>
        </w:tc>
      </w:tr>
    </w:tbl>
    <w:p>
      <w:r>
        <w:br w:type="page"/>
      </w:r>
    </w:p>
    <w:p>
      <w:pPr>
        <w:spacing w:before="240" w:after="120"/>
        <w:jc w:val="left"/>
      </w:pPr>
      <w:r>
        <w:rPr>
          <w:b/>
          <w:color w:val="0B0D11"/>
          <w:sz w:val="32"/>
        </w:rPr>
        <w:t>Exercise 3 – Deconstruct a “Should”</w:t>
      </w:r>
    </w:p>
    <w:p>
      <w:pPr>
        <w:spacing w:after="120"/>
      </w:pPr>
      <w:r>
        <w:t>Pick one “should” you’ve absorbed about recovery — especially one that makes you feel tight, ashamed, or boxed in. Then gently question it.</w:t>
      </w:r>
    </w:p>
    <w:p>
      <w:r>
        <w:t>My recovery “should” is:</w:t>
      </w:r>
    </w:p>
    <w:p>
      <w:r>
        <w:t>____________________________________________________________________________</w:t>
      </w:r>
    </w:p>
    <w:p>
      <w:r>
        <w:t>____________________________________________________________________________</w:t>
      </w:r>
    </w:p>
    <w:p>
      <w:pPr>
        <w:spacing w:before="160" w:after="80"/>
      </w:pPr>
      <w:r>
        <w:rPr>
          <w:b/>
          <w:color w:val="374151"/>
          <w:sz w:val="26"/>
        </w:rPr>
        <w:t>Reflective questions:</w:t>
      </w:r>
    </w:p>
    <w:p>
      <w:pPr>
        <w:pStyle w:val="ListBullet"/>
        <w:ind w:left="360"/>
      </w:pPr>
      <w:r>
        <w:rPr>
          <w:sz w:val="22"/>
        </w:rPr>
        <w:t>Where did I learn this? From whom or from where?</w:t>
      </w:r>
    </w:p>
    <w:p>
      <w:r>
        <w:t>____________________________________________________________________________</w:t>
      </w:r>
    </w:p>
    <w:p>
      <w:r>
        <w:t>____________________________________________________________________________</w:t>
      </w:r>
    </w:p>
    <w:p>
      <w:pPr>
        <w:pStyle w:val="ListBullet"/>
        <w:ind w:left="360"/>
      </w:pPr>
      <w:r>
        <w:rPr>
          <w:sz w:val="22"/>
        </w:rPr>
        <w:t>Is it absolutely, universally true for all humans?</w:t>
      </w:r>
    </w:p>
    <w:p>
      <w:r>
        <w:t>____________________________________________________________________________</w:t>
      </w:r>
    </w:p>
    <w:p>
      <w:r>
        <w:t>____________________________________________________________________________</w:t>
      </w:r>
    </w:p>
    <w:p>
      <w:pPr>
        <w:pStyle w:val="ListBullet"/>
        <w:ind w:left="360"/>
      </w:pPr>
      <w:r>
        <w:rPr>
          <w:sz w:val="22"/>
        </w:rPr>
        <w:t>What happens in my body when I believe this?</w:t>
      </w:r>
    </w:p>
    <w:p>
      <w:r>
        <w:t>____________________________________________________________________________</w:t>
      </w:r>
    </w:p>
    <w:p>
      <w:r>
        <w:t>____________________________________________________________________________</w:t>
      </w:r>
    </w:p>
    <w:p>
      <w:pPr>
        <w:pStyle w:val="ListBullet"/>
        <w:ind w:left="360"/>
      </w:pPr>
      <w:r>
        <w:rPr>
          <w:sz w:val="22"/>
        </w:rPr>
        <w:t>Does this belief help me move toward healing — or away from it?</w:t>
      </w:r>
    </w:p>
    <w:p>
      <w:r>
        <w:t>____________________________________________________________________________</w:t>
      </w:r>
    </w:p>
    <w:p>
      <w:r>
        <w:t>____________________________________________________________________________</w:t>
      </w:r>
    </w:p>
    <w:p>
      <w:pPr>
        <w:pStyle w:val="ListBullet"/>
        <w:ind w:left="360"/>
      </w:pPr>
      <w:r>
        <w:rPr>
          <w:sz w:val="22"/>
        </w:rPr>
        <w:t>What would a more compassionate, nuanced belief look like for me right now?</w:t>
      </w:r>
    </w:p>
    <w:p>
      <w:r>
        <w:t>____________________________________________________________________________</w:t>
      </w:r>
    </w:p>
    <w:p>
      <w:r>
        <w:t>____________________________________________________________________________</w:t>
      </w:r>
    </w:p>
    <w:p>
      <w:r>
        <w:br w:type="page"/>
      </w:r>
    </w:p>
    <w:p>
      <w:pPr>
        <w:spacing w:before="240" w:after="120"/>
        <w:jc w:val="left"/>
      </w:pPr>
      <w:r>
        <w:rPr>
          <w:b/>
          <w:color w:val="0B0D11"/>
          <w:sz w:val="32"/>
        </w:rPr>
        <w:t>Bonus Reflection – Many Roads, One Direction</w:t>
      </w:r>
    </w:p>
    <w:p>
      <w:pPr>
        <w:spacing w:after="120"/>
      </w:pPr>
      <w:r>
        <w:t>Imagine your life 3–5 years from now, with your relationship to substances feeling healthy, manageable, or completely resolved. Describe what a good day in that future looks and feels like.</w:t>
      </w:r>
    </w:p>
    <w:p>
      <w:r>
        <w:t>____________________________________________________________________________</w:t>
      </w:r>
    </w:p>
    <w:p>
      <w:r>
        <w:t>____________________________________________________________________________</w:t>
      </w:r>
    </w:p>
    <w:p>
      <w:r>
        <w:t>____________________________________________________________________________</w:t>
      </w:r>
    </w:p>
    <w:p>
      <w:r>
        <w:t>____________________________________________________________________________</w:t>
      </w:r>
    </w:p>
    <w:p>
      <w:r>
        <w:t>____________________________________________________________________________</w:t>
      </w:r>
    </w:p>
    <w:p>
      <w:r>
        <w:t>____________________________________________________________________________</w:t>
      </w:r>
    </w:p>
    <w:p>
      <w:r>
        <w:t>____________________________________________________________________________</w:t>
      </w:r>
    </w:p>
    <w:p>
      <w:r>
        <w:t>____________________________________________________________________________</w:t>
      </w:r>
    </w:p>
    <w:p>
      <w:r>
        <w:t>____________________________________________________________________________</w:t>
      </w:r>
    </w:p>
    <w:p>
      <w:r>
        <w:t>____________________________________________________________________________</w:t>
      </w:r>
    </w:p>
    <w:p>
      <w:r>
        <w:br w:type="page"/>
      </w:r>
    </w:p>
    <w:p>
      <w:pPr>
        <w:spacing w:before="240" w:after="120"/>
        <w:jc w:val="left"/>
      </w:pPr>
      <w:r>
        <w:rPr>
          <w:b/>
          <w:color w:val="0B0D11"/>
          <w:sz w:val="32"/>
        </w:rPr>
        <w:t>Closing Reminder</w:t>
      </w:r>
    </w:p>
    <w:p>
      <w:pPr>
        <w:spacing w:after="240"/>
      </w:pPr>
      <w:r>
        <w:t>There is no single right way to walk this path. Any honest step toward more life, more presence, and more love counts. Return to this workbook whenever you feel pressured to fit someone else’s template. Your path is allowed to change as you do.</w:t>
      </w:r>
    </w:p>
    <w:p>
      <w:pPr>
        <w:spacing w:after="120"/>
      </w:pPr>
      <w:r>
        <w:t>With respect and encouragement,</w:t>
        <w:br/>
        <w:t>Matt Finch</w:t>
        <w:br/>
        <w:t>Strategic Recovery™</w:t>
      </w:r>
    </w:p>
    <w:p>
      <w:pPr>
        <w:spacing w:after="0"/>
      </w:pPr>
      <w:r>
        <w:t>More tools, essays, and episodes at https://getstrategicrecovery.com/</w:t>
      </w:r>
    </w:p>
    <w:sectPr w:rsidR="00FC693F" w:rsidRPr="0006063C"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